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="156"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4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金融工程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020302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经济学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1938人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630人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630人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罗群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1963.04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2002.12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博士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博士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1998.07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浙江大学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应用数学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2.6%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79.5%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75.6%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1.09篇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31项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59.5万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226篇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1203.26万元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9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95.3%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62.8%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174.1623万元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4"/>
              <w:jc w:val="right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98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103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24项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B"/>
    <w:rsid w:val="000967CA"/>
    <w:rsid w:val="000F117D"/>
    <w:rsid w:val="003A25FB"/>
    <w:rsid w:val="005C3F54"/>
    <w:rsid w:val="00651354"/>
    <w:rsid w:val="00A229AA"/>
    <w:rsid w:val="00C94AF3"/>
    <w:rsid w:val="015254ED"/>
    <w:rsid w:val="038F26FA"/>
    <w:rsid w:val="494919DC"/>
    <w:rsid w:val="4A1D40D1"/>
    <w:rsid w:val="51780FBE"/>
    <w:rsid w:val="63C4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542</Characters>
  <Lines>4</Lines>
  <Paragraphs>1</Paragraphs>
  <TotalTime>1</TotalTime>
  <ScaleCrop>false</ScaleCrop>
  <LinksUpToDate>false</LinksUpToDate>
  <CharactersWithSpaces>636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2020-03-20T08:04:00Z</dcterms:created>
  <dc:creator>yyhh7774444</dc:creator>
  <cp:lastModifiedBy>DELL-PC</cp:lastModifiedBy>
  <dcterms:modified xsi:type="dcterms:W3CDTF">2020-03-24T01:50:30Z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